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1.jpg" ContentType="image/jpeg"/>
  <Override PartName="/word/media/rId75.jpg" ContentType="image/jpeg"/>
  <Override PartName="/word/media/rId79.jpg" ContentType="image/jpeg"/>
  <Override PartName="/word/media/rId31.jpg" ContentType="image/jpeg"/>
  <Override PartName="/word/media/rId37.jpg" ContentType="image/jpeg"/>
  <Override PartName="/word/media/rId45.jpg" ContentType="image/jpeg"/>
  <Override PartName="/word/media/rId41.jpg" ContentType="image/jpeg"/>
  <Override PartName="/word/media/rId50.jpg" ContentType="image/jpeg"/>
  <Override PartName="/word/media/rId62.jpg" ContentType="image/jpeg"/>
  <Override PartName="/word/media/rId54.jpg" ContentType="image/jpeg"/>
  <Override PartName="/word/media/rId58.jpg" ContentType="image/jpeg"/>
  <Override PartName="/word/media/rId27.jpg" ContentType="image/jpeg"/>
  <Override PartName="/word/media/rId23.jpg" ContentType="image/jpeg"/>
  <Override PartName="/word/media/rId84.jpg" ContentType="image/jpeg"/>
  <Override PartName="/word/media/rId88.jpg" ContentType="image/jpeg"/>
  <Override PartName="/word/media/rId96.jpg" ContentType="image/jpeg"/>
  <Override PartName="/word/media/rId100.jpg" ContentType="image/jpeg"/>
  <Override PartName="/word/media/rId104.jpg" ContentType="image/jpeg"/>
  <Override PartName="/word/media/rId108.jpg" ContentType="image/jpeg"/>
  <Override PartName="/word/media/rId112.jpg" ContentType="image/jpeg"/>
  <Override PartName="/word/media/rId116.jpg" ContentType="image/jpeg"/>
  <Override PartName="/word/media/rId120.jpg" ContentType="image/jpeg"/>
  <Override PartName="/word/media/rId124.jpg" ContentType="image/jpeg"/>
  <Override PartName="/word/media/rId128.jpg" ContentType="image/jpeg"/>
  <Override PartName="/word/media/rId9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w:t>
      </w:r>
    </w:p>
    <w:p>
      <w:r>
        <w:br w:type="page"/>
      </w:r>
    </w:p>
    <w:bookmarkEnd w:id="20"/>
    <w:bookmarkStart w:id="21" w:name="executive-summary"/>
    <w:p>
      <w:pPr>
        <w:pStyle w:val="Heading2"/>
      </w:pPr>
      <w:r>
        <w:t xml:space="preserve">Executive Summary</w:t>
      </w:r>
    </w:p>
    <w:p>
      <w:r>
        <w:br w:type="page"/>
      </w:r>
    </w:p>
    <w:bookmarkEnd w:id="21"/>
    <w:bookmarkStart w:id="22"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Habitat changes with projected estimates of sea-level rise are expected to manifest as substantial habitat loss or alteration and landward migration of intertidal species with changes in salinity.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decreases in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Numerous efforts to track and plan for the projected effects of sea-level rise have been the focus of regional managers in recent decades. The Tampa Bay Estuary Program works to develop science-based solutions to managing the estuary by creating consensus among regional managers on approaches for maintaining a healthy bay and watershed. The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Each of nine sites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field crews in collecting useful information to inform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0.5 meter sampling. Key metrics were evaluated based on information that was considered relevant to evaluate the long-term effects of climate change. These metrics included:</w:t>
      </w:r>
    </w:p>
    <w:p>
      <w:pPr>
        <w:numPr>
          <w:ilvl w:val="0"/>
          <w:numId w:val="1001"/>
        </w:numPr>
        <w:pStyle w:val="Compact"/>
      </w:pPr>
      <w:r>
        <w:t xml:space="preserve">Total species richness at a site</w:t>
      </w:r>
    </w:p>
    <w:p>
      <w:pPr>
        <w:numPr>
          <w:ilvl w:val="0"/>
          <w:numId w:val="1001"/>
        </w:numPr>
        <w:pStyle w:val="Compact"/>
      </w:pPr>
      <w:r>
        <w:t xml:space="preserve">Total species richness at a site by vegetation zone</w:t>
      </w:r>
    </w:p>
    <w:p>
      <w:pPr>
        <w:numPr>
          <w:ilvl w:val="0"/>
          <w:numId w:val="1001"/>
        </w:numPr>
        <w:pStyle w:val="Compact"/>
      </w:pPr>
      <w:r>
        <w:t xml:space="preserve">Elevation at which 95% of key species occur (e.g., mangroves)</w:t>
      </w:r>
    </w:p>
    <w:p>
      <w:pPr>
        <w:numPr>
          <w:ilvl w:val="0"/>
          <w:numId w:val="1001"/>
        </w:numPr>
        <w:pStyle w:val="Compact"/>
      </w:pPr>
      <w:r>
        <w:t xml:space="preserve">Vegetation zone distances by site</w:t>
      </w:r>
    </w:p>
    <w:p>
      <w:pPr>
        <w:pStyle w:val="FirstParagraph"/>
      </w:pPr>
      <w:r>
        <w:t xml:space="preserve">Recommendations are provided for the appropriate sampling interval of future surveys.</w:t>
      </w:r>
    </w:p>
    <w:bookmarkEnd w:id="22"/>
    <w:bookmarkStart w:id="36"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1</w:t>
        </w:r>
      </w:hyperlink>
      <w:r>
        <w:t xml:space="preserve">. The transects are perpendicular to the coastline and extend from the water to the uplands following bench-marked beginning and end locations that are fixed at each site. Each transect surveys the vegetation community at half-meter marks using a 0.25 m</w:t>
      </w:r>
      <m:oMath>
        <m:sSup>
          <m:e>
            <m:r>
              <m:t>​</m:t>
            </m:r>
          </m:e>
          <m:sup>
            <m:r>
              <m:t>2</m:t>
            </m:r>
          </m:sup>
        </m:sSup>
      </m:oMath>
      <w:r>
        <w:t xml:space="preserve"> </w:t>
      </w:r>
      <w:r>
        <w:t xml:space="preserve">quadrat, where species richness and basal cover of each species is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1</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were visually assessed and the meter marks where the transitions along the transects were recorded. Vegetation surveys represent a majority of the total sampling time at each transect.</w:t>
      </w:r>
    </w:p>
    <w:tbl>
      <w:tblPr>
        <w:tblStyle w:val="Table"/>
        <w:tblW w:type="pct" w:w="5000"/>
        <w:tblLook w:firstRow="0" w:lastRow="0" w:firstColumn="0" w:lastColumn="0" w:noHBand="0" w:noVBand="0" w:val="0000"/>
      </w:tblPr>
      <w:tblGrid>
        <w:gridCol w:w="7920"/>
      </w:tblGrid>
      <w:tr>
        <w:tc>
          <w:tcPr/>
          <w:bookmarkStart w:id="26" w:name="fig-transectdesign"/>
          <w:p>
            <w:pPr>
              <w:pStyle w:val="Figure"/>
              <w:jc w:val="center"/>
            </w:pPr>
            <w:r>
              <w:drawing>
                <wp:inline>
                  <wp:extent cx="5943600" cy="2809417"/>
                  <wp:effectExtent b="0" l="0" r="0" t="0"/>
                  <wp:docPr descr="" title="" id="24" name="Picture"/>
                  <a:graphic>
                    <a:graphicData uri="http://schemas.openxmlformats.org/drawingml/2006/picture">
                      <pic:pic>
                        <pic:nvPicPr>
                          <pic:cNvPr descr="../figs/transectdesign.jpg" id="25" name="Picture"/>
                          <pic:cNvPicPr>
                            <a:picLocks noChangeArrowheads="1" noChangeAspect="1"/>
                          </pic:cNvPicPr>
                        </pic:nvPicPr>
                        <pic:blipFill>
                          <a:blip r:embed="rId23"/>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Schematic of the sampling design at all CCHA sites</w:t>
            </w:r>
            <w:r>
              <w:t xml:space="preserve"> </w:t>
            </w:r>
            <w:r>
              <w:t xml:space="preserve">(from Moyer and Radabaugh, 2017)</w:t>
            </w:r>
            <w:r>
              <w:t xml:space="preserve">. Vegetation quadrats are placed every half meter along the main transect from the water to the landward end</w:t>
            </w:r>
          </w:p>
          <w:bookmarkEnd w:id="26"/>
        </w:tc>
      </w:tr>
    </w:tbl>
    <w:p>
      <w:pPr>
        <w:pStyle w:val="BodyText"/>
      </w:pPr>
      <w:r>
        <w:t xml:space="preserve">All existing CCHA vegetation surveys at each site and for both phases of sampling (baseline and 2018 surveys) were sub-sampled from the existing effort of sample plots every half meter.</w:t>
      </w:r>
      <w:r>
        <w:t xml:space="preserve"> </w:t>
      </w:r>
      <w:hyperlink w:anchor="fig-subsampex">
        <w:r>
          <w:rPr>
            <w:rStyle w:val="Hyperlink"/>
          </w:rPr>
          <w:t xml:space="preserve">Figure 2</w:t>
        </w:r>
      </w:hyperlink>
      <w:r>
        <w:t xml:space="preserve"> </w:t>
      </w:r>
      <w:r>
        <w:t xml:space="preserve">shows an example of the sub-sampling scheme, where effort was reduced in increments of a half meter, starting from the complete survey to an upper limit of sampling every ten meters. For simplicity,</w:t>
      </w:r>
      <w:r>
        <w:t xml:space="preserve"> </w:t>
      </w:r>
      <w:hyperlink w:anchor="fig-subsampex">
        <w:r>
          <w:rPr>
            <w:rStyle w:val="Hyperlink"/>
          </w:rPr>
          <w:t xml:space="preserve">Figure 2</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The existing surveys were sub-sampled at the specified meter interval for every unique subset (or replicate) that was possible. For example, two unique replicates can be created with sub-sampling every one meter, three every 1.5 meters, etc. The large red points in</w:t>
      </w:r>
      <w:r>
        <w:t xml:space="preserve"> </w:t>
      </w:r>
      <w:hyperlink w:anchor="fig-subsampex">
        <w:r>
          <w:rPr>
            <w:rStyle w:val="Hyperlink"/>
          </w:rPr>
          <w:t xml:space="preserve">Figure 2</w:t>
        </w:r>
      </w:hyperlink>
      <w:r>
        <w:t xml:space="preserve"> </w:t>
      </w:r>
      <w:r>
        <w:t xml:space="preserve">show which of the existing survey points were sub-sampled for the specified sub-sample distance.</w:t>
      </w:r>
    </w:p>
    <w:tbl>
      <w:tblPr>
        <w:tblStyle w:val="Table"/>
        <w:tblW w:type="pct" w:w="5000"/>
        <w:tblLook w:firstRow="0" w:lastRow="0" w:firstColumn="0" w:lastColumn="0" w:noHBand="0" w:noVBand="0" w:val="0000"/>
      </w:tblPr>
      <w:tblGrid>
        <w:gridCol w:w="7920"/>
      </w:tblGrid>
      <w:tr>
        <w:tc>
          <w:tcPr/>
          <w:bookmarkStart w:id="30" w:name="fig-subsampex"/>
          <w:p>
            <w:pPr>
              <w:pStyle w:val="Figure"/>
              <w:jc w:val="center"/>
            </w:pPr>
            <w:r>
              <w:drawing>
                <wp:inline>
                  <wp:extent cx="5943600" cy="3714750"/>
                  <wp:effectExtent b="0" l="0" r="0" t="0"/>
                  <wp:docPr descr="" title="" id="28" name="Picture"/>
                  <a:graphic>
                    <a:graphicData uri="http://schemas.openxmlformats.org/drawingml/2006/picture">
                      <pic:pic>
                        <pic:nvPicPr>
                          <pic:cNvPr descr="../figs/subsampex.jpg" id="29" name="Picture"/>
                          <pic:cNvPicPr>
                            <a:picLocks noChangeArrowheads="1" noChangeAspect="1"/>
                          </pic:cNvPicPr>
                        </pic:nvPicPr>
                        <pic:blipFill>
                          <a:blip r:embed="rId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method for creating sub-samples of existing transect data. The full survey with sampling at 0.5 meter intervals is shown at the top, wiht increasing sampling intervals from top to bottom. Replicates for each sample interval show the unique points that were selected.</w:t>
            </w:r>
          </w:p>
          <w:bookmarkEnd w:id="30"/>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3</w:t>
        </w:r>
      </w:hyperlink>
      <w:r>
        <w:t xml:space="preserve">. The total reduction in effort with each half-meter reduction in sample effort decreases from one meter to ten sampling, with the largest reduction in the former and the smallest reduction in the latter.</w:t>
      </w:r>
    </w:p>
    <w:tbl>
      <w:tblPr>
        <w:tblStyle w:val="Table"/>
        <w:tblW w:type="pct" w:w="5000"/>
        <w:tblLook w:firstRow="0" w:lastRow="0" w:firstColumn="0" w:lastColumn="0" w:noHBand="0" w:noVBand="0" w:val="0000"/>
      </w:tblPr>
      <w:tblGrid>
        <w:gridCol w:w="7920"/>
      </w:tblGrid>
      <w:tr>
        <w:tc>
          <w:tcPr/>
          <w:bookmarkStart w:id="34" w:name="fig-releff"/>
          <w:p>
            <w:pPr>
              <w:pStyle w:val="Figure"/>
              <w:jc w:val="center"/>
            </w:pPr>
            <w:r>
              <w:drawing>
                <wp:inline>
                  <wp:extent cx="5943600" cy="3714750"/>
                  <wp:effectExtent b="0" l="0" r="0" t="0"/>
                  <wp:docPr descr="" title="" id="32" name="Picture"/>
                  <a:graphic>
                    <a:graphicData uri="http://schemas.openxmlformats.org/drawingml/2006/picture">
                      <pic:pic>
                        <pic:nvPicPr>
                          <pic:cNvPr descr="../figs/releff.jpg" id="33" name="Picture"/>
                          <pic:cNvPicPr>
                            <a:picLocks noChangeArrowheads="1" noChangeAspect="1"/>
                          </pic:cNvPicPr>
                        </pic:nvPicPr>
                        <pic:blipFill>
                          <a:blip r:embed="rId3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Percent reductions in sample effort as a function of the sample interval. For example, sampling every one meter represent a 50% reduction in effort form the original sample at 0.5 meters.</w:t>
            </w:r>
          </w:p>
          <w:bookmarkEnd w:id="34"/>
        </w:tc>
      </w:tr>
    </w:tbl>
    <w:p>
      <w:pPr>
        <w:pStyle w:val="BodyText"/>
      </w:pPr>
      <w:r>
        <w:t xml:space="preserve">For each site and sample year, the vegetation transect was sub-sampled following the methods above and relevant vegetation metrics were estimated. Estimates of species richness at each site and species richness in each vegetation zone were calculated for each sub-sample. The elevations at which key species occurred were also estimated for each level of sample effort. The three mangrove species that commonly occur in tidal wetlands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show dramatic shifts with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were calculated for all points in a sub-sample where a key species was found. The 95th percentile of the elevation estimates for each CDF were used to identify an approximate elevation limit for each species and sub-sample. Lastly, the ability to identify each vegetation zone and the meter mark at which a zone began was also estimated from each sub-sample.</w:t>
      </w:r>
    </w:p>
    <w:p>
      <w:pPr>
        <w:pStyle w:val="BodyText"/>
      </w:pPr>
      <w:r>
        <w:t xml:space="preserve">All replicates for each level of sampling effort were considered independent samples and results of each summary metric for replicates were averaged to provide a single estimate for the level of effort. The variance across the estimates was also estimated to provide an assessment of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 total change and the relative percent changes to identify these potential effects. Metrics were also evaluated by comparing total change from 0.5 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35">
        <w:r>
          <w:rPr>
            <w:rStyle w:val="Hyperlink"/>
          </w:rPr>
          <w:t xml:space="preserve">https://github.com/tbep-tech/ccha-sampling-effort</w:t>
        </w:r>
      </w:hyperlink>
      <w:r>
        <w:t xml:space="preserve">.</w:t>
      </w:r>
    </w:p>
    <w:bookmarkEnd w:id="36"/>
    <w:bookmarkStart w:id="133" w:name="results"/>
    <w:p>
      <w:pPr>
        <w:pStyle w:val="Heading2"/>
      </w:pPr>
      <w:r>
        <w:t xml:space="preserve">3 Results</w:t>
      </w:r>
    </w:p>
    <w:bookmarkStart w:id="49" w:name="richness-estimates"/>
    <w:p>
      <w:pPr>
        <w:pStyle w:val="Heading3"/>
      </w:pPr>
      <w:r>
        <w:t xml:space="preserve">3.1 Richness estimates</w:t>
      </w:r>
    </w:p>
    <w:p>
      <w:pPr>
        <w:pStyle w:val="FirstParagraph"/>
      </w:pPr>
      <w:r>
        <w:t xml:space="preserve">These plots show the effect of down-sampling on richness estimates at each site, grouped by year of sampling.</w:t>
      </w:r>
      <w:r>
        <w:t xml:space="preserve"> </w:t>
      </w:r>
      <w:hyperlink w:anchor="fig-richex">
        <w:r>
          <w:rPr>
            <w:rStyle w:val="Hyperlink"/>
          </w:rPr>
          <w:t xml:space="preserve">Figure 4</w:t>
        </w:r>
      </w:hyperlink>
      <w:r>
        <w:t xml:space="preserve"> </w:t>
      </w:r>
      <w:r>
        <w:t xml:space="preserve">shows points as the average estimate at each down-sampled survey for the sampling distance shown on the x-axis. The lines are polynomial smooths to show the trend. The size of each point is in proportion to the variance of the species richness estimate for each random sub-sample at the specified level of sampling. Facets are arranged based on the greatest reduction in species richness as a percentage of the total.</w:t>
      </w:r>
    </w:p>
    <w:tbl>
      <w:tblPr>
        <w:tblStyle w:val="Table"/>
        <w:tblW w:type="pct" w:w="5000"/>
        <w:tblLook w:firstRow="0" w:lastRow="0" w:firstColumn="0" w:lastColumn="0" w:noHBand="0" w:noVBand="0" w:val="0000"/>
      </w:tblPr>
      <w:tblGrid>
        <w:gridCol w:w="7920"/>
      </w:tblGrid>
      <w:tr>
        <w:tc>
          <w:tcPr/>
          <w:bookmarkStart w:id="40" w:name="fig-richex"/>
          <w:p>
            <w:pPr>
              <w:pStyle w:val="Figure"/>
              <w:jc w:val="center"/>
            </w:pPr>
            <w:r>
              <w:drawing>
                <wp:inline>
                  <wp:extent cx="5943600" cy="5200650"/>
                  <wp:effectExtent b="0" l="0" r="0" t="0"/>
                  <wp:docPr descr="" title="" id="38" name="Picture"/>
                  <a:graphic>
                    <a:graphicData uri="http://schemas.openxmlformats.org/drawingml/2006/picture">
                      <pic:pic>
                        <pic:nvPicPr>
                          <pic:cNvPr descr="../figs/richex.jpg" id="39" name="Picture"/>
                          <pic:cNvPicPr>
                            <a:picLocks noChangeArrowheads="1" noChangeAspect="1"/>
                          </pic:cNvPicPr>
                        </pic:nvPicPr>
                        <pic:blipFill>
                          <a:blip r:embed="rId3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Reductions in species richness estimates with sampling distance for all sites and each year of sampling. Point size shows the variance across the replicates for each level of sampling effort.</w:t>
            </w:r>
          </w:p>
          <w:bookmarkEnd w:id="40"/>
        </w:tc>
      </w:tr>
    </w:tbl>
    <w:p>
      <w:pPr>
        <w:pStyle w:val="BodyText"/>
      </w:pPr>
      <w:hyperlink w:anchor="fig-richperex">
        <w:r>
          <w:rPr>
            <w:rStyle w:val="Hyperlink"/>
          </w:rPr>
          <w:t xml:space="preserve">Figure 5</w:t>
        </w:r>
      </w:hyperlink>
      <w:r>
        <w:t xml:space="preserve"> </w:t>
      </w:r>
      <w:r>
        <w:t xml:space="preserve">is similar to</w:t>
      </w:r>
      <w:r>
        <w:t xml:space="preserve"> </w:t>
      </w:r>
      <w:hyperlink w:anchor="fig-richex">
        <w:r>
          <w:rPr>
            <w:rStyle w:val="Hyperlink"/>
          </w:rPr>
          <w:t xml:space="preserve">Figure 4</w:t>
        </w:r>
      </w:hyperlink>
      <w:r>
        <w:t xml:space="preserve">, but richness is scaled as a percentage of the total at full sample effort. This allows for a comparison of a reduction in the estimate independent of the overall species richness. That is, the sensitivity of the richness estimate at a site may vary depending on overall species richness.</w:t>
      </w:r>
    </w:p>
    <w:tbl>
      <w:tblPr>
        <w:tblStyle w:val="Table"/>
        <w:tblW w:type="pct" w:w="5000"/>
        <w:tblLook w:firstRow="0" w:lastRow="0" w:firstColumn="0" w:lastColumn="0" w:noHBand="0" w:noVBand="0" w:val="0000"/>
      </w:tblPr>
      <w:tblGrid>
        <w:gridCol w:w="7920"/>
      </w:tblGrid>
      <w:tr>
        <w:tc>
          <w:tcPr/>
          <w:bookmarkStart w:id="44" w:name="fig-richperex"/>
          <w:p>
            <w:pPr>
              <w:pStyle w:val="Figure"/>
              <w:jc w:val="center"/>
            </w:pPr>
            <w:r>
              <w:drawing>
                <wp:inline>
                  <wp:extent cx="5943600" cy="5200650"/>
                  <wp:effectExtent b="0" l="0" r="0" t="0"/>
                  <wp:docPr descr="" title="" id="42" name="Picture"/>
                  <a:graphic>
                    <a:graphicData uri="http://schemas.openxmlformats.org/drawingml/2006/picture">
                      <pic:pic>
                        <pic:nvPicPr>
                          <pic:cNvPr descr="../figs/richperex.jpg" id="43" name="Picture"/>
                          <pic:cNvPicPr>
                            <a:picLocks noChangeArrowheads="1" noChangeAspect="1"/>
                          </pic:cNvPicPr>
                        </pic:nvPicPr>
                        <pic:blipFill>
                          <a:blip r:embed="rId41"/>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Relative percent reductions in species richness estimates with sampling distance for all sites and each year of sampling. Point size shows the variance across the replicates for each level of sampling effort.</w:t>
            </w:r>
          </w:p>
          <w:bookmarkEnd w:id="44"/>
        </w:tc>
      </w:tr>
    </w:tbl>
    <w:p>
      <w:pPr>
        <w:pStyle w:val="BodyText"/>
      </w:pPr>
      <w:r>
        <w:t xml:space="preserve">There is some evidence that a greater reduction in species richness is expected at sites with higher richness, although the model is insignificant (</w:t>
      </w:r>
      <w:hyperlink w:anchor="fig-richloss">
        <w:r>
          <w:rPr>
            <w:rStyle w:val="Hyperlink"/>
          </w:rPr>
          <w:t xml:space="preserve">Figure 6</w:t>
        </w:r>
      </w:hyperlink>
      <w:r>
        <w:t xml:space="preserve">).</w:t>
      </w:r>
    </w:p>
    <w:tbl>
      <w:tblPr>
        <w:tblStyle w:val="Table"/>
        <w:tblW w:type="pct" w:w="5000"/>
        <w:tblLook w:firstRow="0" w:lastRow="0" w:firstColumn="0" w:lastColumn="0" w:noHBand="0" w:noVBand="0" w:val="0000"/>
      </w:tblPr>
      <w:tblGrid>
        <w:gridCol w:w="7920"/>
      </w:tblGrid>
      <w:tr>
        <w:tc>
          <w:tcPr/>
          <w:bookmarkStart w:id="48" w:name="fig-richloss"/>
          <w:p>
            <w:pPr>
              <w:pStyle w:val="Figure"/>
              <w:jc w:val="center"/>
            </w:pPr>
            <w:r>
              <w:drawing>
                <wp:inline>
                  <wp:extent cx="5943600" cy="5486400"/>
                  <wp:effectExtent b="0" l="0" r="0" t="0"/>
                  <wp:docPr descr="" title="" id="46" name="Picture"/>
                  <a:graphic>
                    <a:graphicData uri="http://schemas.openxmlformats.org/drawingml/2006/picture">
                      <pic:pic>
                        <pic:nvPicPr>
                          <pic:cNvPr descr="../figs/richloss.jpg" id="47" name="Picture"/>
                          <pic:cNvPicPr>
                            <a:picLocks noChangeArrowheads="1" noChangeAspect="1"/>
                          </pic:cNvPicPr>
                        </pic:nvPicPr>
                        <pic:blipFill>
                          <a:blip r:embed="rId45"/>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Total percent loss in species richness estimates from 0.5 to 10 meter sampling as a function of actual species richness at 0.5 meter sampling.</w:t>
            </w:r>
          </w:p>
          <w:bookmarkEnd w:id="48"/>
        </w:tc>
      </w:tr>
    </w:tbl>
    <w:bookmarkEnd w:id="49"/>
    <w:bookmarkStart w:id="66" w:name="richness-estimates-by-zone"/>
    <w:p>
      <w:pPr>
        <w:pStyle w:val="Heading3"/>
      </w:pPr>
      <w:r>
        <w:t xml:space="preserve">3.2 Richness estimates by zone</w:t>
      </w:r>
    </w:p>
    <w:p>
      <w:pPr>
        <w:pStyle w:val="FirstParagraph"/>
      </w:pPr>
      <w:hyperlink w:anchor="fig-richzone">
        <w:r>
          <w:rPr>
            <w:rStyle w:val="Hyperlink"/>
          </w:rPr>
          <w:t xml:space="preserve">Figure 7</w:t>
        </w:r>
      </w:hyperlink>
      <w:r>
        <w:t xml:space="preserve"> </w:t>
      </w:r>
      <w:r>
        <w:t xml:space="preserve">shows richness estimates for different zones at each site with a reduction of sample effort. The lines show the estimated reduction in the richness estimate for each site and the thick line is the average trend across all sites for each zone (points are not shown to reduce clutter). The panels are arranged based on the greatest percent reduction in richness from full to minimum effort across all sites in a zone.</w:t>
      </w:r>
    </w:p>
    <w:tbl>
      <w:tblPr>
        <w:tblStyle w:val="Table"/>
        <w:tblW w:type="pct" w:w="5000"/>
        <w:tblLook w:firstRow="0" w:lastRow="0" w:firstColumn="0" w:lastColumn="0" w:noHBand="0" w:noVBand="0" w:val="0000"/>
      </w:tblPr>
      <w:tblGrid>
        <w:gridCol w:w="7920"/>
      </w:tblGrid>
      <w:tr>
        <w:tc>
          <w:tcPr/>
          <w:bookmarkStart w:id="53" w:name="fig-richzone"/>
          <w:p>
            <w:pPr>
              <w:pStyle w:val="Figure"/>
              <w:jc w:val="center"/>
            </w:pPr>
            <w:r>
              <w:drawing>
                <wp:inline>
                  <wp:extent cx="5943600" cy="5943600"/>
                  <wp:effectExtent b="0" l="0" r="0" t="0"/>
                  <wp:docPr descr="" title="" id="51" name="Picture"/>
                  <a:graphic>
                    <a:graphicData uri="http://schemas.openxmlformats.org/drawingml/2006/picture">
                      <pic:pic>
                        <pic:nvPicPr>
                          <pic:cNvPr descr="../figs/richzone.jpg" id="52"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3"/>
        </w:tc>
      </w:tr>
    </w:tbl>
    <w:p>
      <w:pPr>
        <w:pStyle w:val="BodyText"/>
      </w:pPr>
      <w:hyperlink w:anchor="fig-richzoneper">
        <w:r>
          <w:rPr>
            <w:rStyle w:val="Hyperlink"/>
          </w:rPr>
          <w:t xml:space="preserve">Figure 8</w:t>
        </w:r>
      </w:hyperlink>
      <w:r>
        <w:t xml:space="preserve"> </w:t>
      </w:r>
      <w:r>
        <w:t xml:space="preserve">is the same as</w:t>
      </w:r>
      <w:r>
        <w:t xml:space="preserve"> </w:t>
      </w:r>
      <w:hyperlink w:anchor="fig-richzone">
        <w:r>
          <w:rPr>
            <w:rStyle w:val="Hyperlink"/>
          </w:rPr>
          <w:t xml:space="preserve">Figure 7</w:t>
        </w:r>
      </w:hyperlink>
      <w:r>
        <w:t xml:space="preserve">, except richness estimates are scaled as a percentage of the total. This allows for a comparison of a reduction in the estimate independent of the overall species richness.</w:t>
      </w:r>
    </w:p>
    <w:tbl>
      <w:tblPr>
        <w:tblStyle w:val="Table"/>
        <w:tblW w:type="pct" w:w="5000"/>
        <w:tblLook w:firstRow="0" w:lastRow="0" w:firstColumn="0" w:lastColumn="0" w:noHBand="0" w:noVBand="0" w:val="0000"/>
      </w:tblPr>
      <w:tblGrid>
        <w:gridCol w:w="7920"/>
      </w:tblGrid>
      <w:tr>
        <w:tc>
          <w:tcPr/>
          <w:bookmarkStart w:id="57" w:name="fig-richzoneper"/>
          <w:p>
            <w:pPr>
              <w:pStyle w:val="Figure"/>
              <w:jc w:val="center"/>
            </w:pPr>
            <w:r>
              <w:drawing>
                <wp:inline>
                  <wp:extent cx="5943600" cy="5943600"/>
                  <wp:effectExtent b="0" l="0" r="0" t="0"/>
                  <wp:docPr descr="" title="" id="55" name="Picture"/>
                  <a:graphic>
                    <a:graphicData uri="http://schemas.openxmlformats.org/drawingml/2006/picture">
                      <pic:pic>
                        <pic:nvPicPr>
                          <pic:cNvPr descr="../figs/richzoneper.jp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7"/>
        </w:tc>
      </w:tr>
    </w:tbl>
    <w:p>
      <w:pPr>
        <w:pStyle w:val="BodyText"/>
      </w:pPr>
      <w:hyperlink w:anchor="fig-richzonesum">
        <w:r>
          <w:rPr>
            <w:rStyle w:val="Hyperlink"/>
          </w:rPr>
          <w:t xml:space="preserve">Figure 9</w:t>
        </w:r>
      </w:hyperlink>
      <w:r>
        <w:t xml:space="preserve"> </w:t>
      </w:r>
      <w:r>
        <w:t xml:space="preserve">combines results from the previous plots into a single panel. The lines are each solid black line from the above plot as the average reduction in the richness estimates for all sites in each zone. The line thickness is in proportion to the average total species richness for all sites in a zone at full sampling effort.</w:t>
      </w:r>
    </w:p>
    <w:tbl>
      <w:tblPr>
        <w:tblStyle w:val="Table"/>
        <w:tblW w:type="pct" w:w="5000"/>
        <w:tblLook w:firstRow="0" w:lastRow="0" w:firstColumn="0" w:lastColumn="0" w:noHBand="0" w:noVBand="0" w:val="0000"/>
      </w:tblPr>
      <w:tblGrid>
        <w:gridCol w:w="7920"/>
      </w:tblGrid>
      <w:tr>
        <w:tc>
          <w:tcPr/>
          <w:bookmarkStart w:id="61" w:name="fig-richzonesum"/>
          <w:p>
            <w:pPr>
              <w:pStyle w:val="Figure"/>
              <w:jc w:val="center"/>
            </w:pPr>
            <w:r>
              <w:drawing>
                <wp:inline>
                  <wp:extent cx="5943600" cy="3962399"/>
                  <wp:effectExtent b="0" l="0" r="0" t="0"/>
                  <wp:docPr descr="" title="" id="59" name="Picture"/>
                  <a:graphic>
                    <a:graphicData uri="http://schemas.openxmlformats.org/drawingml/2006/picture">
                      <pic:pic>
                        <pic:nvPicPr>
                          <pic:cNvPr descr="../figs/richzonesum.jpg" id="60" name="Picture"/>
                          <pic:cNvPicPr>
                            <a:picLocks noChangeArrowheads="1" noChangeAspect="1"/>
                          </pic:cNvPicPr>
                        </pic:nvPicPr>
                        <pic:blipFill>
                          <a:blip r:embed="rId58"/>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 in species richness with sampling distance for each unique vegetation zone across all sites. Each line represents the average percent reduction for each occurrence of a zone.</w:t>
            </w:r>
          </w:p>
          <w:bookmarkEnd w:id="61"/>
        </w:tc>
      </w:tr>
    </w:tbl>
    <w:p>
      <w:pPr>
        <w:pStyle w:val="BodyText"/>
      </w:pPr>
      <w:r>
        <w:t xml:space="preserve">There is strong evidence that a greater reduction in species richness is expected at zones with higher richness (</w:t>
      </w:r>
      <w:hyperlink w:anchor="fig-richzoneloss">
        <w:r>
          <w:rPr>
            <w:rStyle w:val="Hyperlink"/>
          </w:rPr>
          <w:t xml:space="preserve">Figure 10</w:t>
        </w:r>
      </w:hyperlink>
      <w:r>
        <w:t xml:space="preserve">).</w:t>
      </w:r>
    </w:p>
    <w:tbl>
      <w:tblPr>
        <w:tblStyle w:val="Table"/>
        <w:tblW w:type="pct" w:w="5000"/>
        <w:tblLook w:firstRow="0" w:lastRow="0" w:firstColumn="0" w:lastColumn="0" w:noHBand="0" w:noVBand="0" w:val="0000"/>
      </w:tblPr>
      <w:tblGrid>
        <w:gridCol w:w="7920"/>
      </w:tblGrid>
      <w:tr>
        <w:tc>
          <w:tcPr/>
          <w:bookmarkStart w:id="65" w:name="fig-richzoneloss"/>
          <w:p>
            <w:pPr>
              <w:pStyle w:val="Figure"/>
              <w:jc w:val="center"/>
            </w:pPr>
            <w:r>
              <w:drawing>
                <wp:inline>
                  <wp:extent cx="5943600" cy="5486400"/>
                  <wp:effectExtent b="0" l="0" r="0" t="0"/>
                  <wp:docPr descr="" title="" id="63" name="Picture"/>
                  <a:graphic>
                    <a:graphicData uri="http://schemas.openxmlformats.org/drawingml/2006/picture">
                      <pic:pic>
                        <pic:nvPicPr>
                          <pic:cNvPr descr="../figs/richzoneloss.jpg" id="64" name="Picture"/>
                          <pic:cNvPicPr>
                            <a:picLocks noChangeArrowheads="1" noChangeAspect="1"/>
                          </pic:cNvPicPr>
                        </pic:nvPicPr>
                        <pic:blipFill>
                          <a:blip r:embed="rId62"/>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percent loss of richness from 0.5 meter to 10 meter sampling as a function of average species richness within a zone.</w:t>
            </w:r>
          </w:p>
          <w:bookmarkEnd w:id="65"/>
        </w:tc>
      </w:tr>
    </w:tbl>
    <w:bookmarkEnd w:id="66"/>
    <w:bookmarkStart w:id="83" w:name="elevation-of-key-species"/>
    <w:p>
      <w:pPr>
        <w:pStyle w:val="Heading3"/>
      </w:pPr>
      <w:r>
        <w:t xml:space="preserve">3.3 Elevation of key species</w:t>
      </w:r>
    </w:p>
    <w:p>
      <w:pPr>
        <w:pStyle w:val="FirstParagraph"/>
      </w:pPr>
      <w:hyperlink w:anchor="fig-elevex">
        <w:r>
          <w:rPr>
            <w:rStyle w:val="Hyperlink"/>
          </w:rPr>
          <w:t xml:space="preserve">Figure 11</w:t>
        </w:r>
      </w:hyperlink>
      <w:r>
        <w:t xml:space="preserve"> </w:t>
      </w:r>
      <w:r>
        <w:t xml:space="preserve">shows elevation estimates for mangrove species (black mangrove</w:t>
      </w:r>
      <w:r>
        <w:t xml:space="preserve"> </w:t>
      </w:r>
      <w:r>
        <w:rPr>
          <w:iCs/>
          <w:i/>
        </w:rPr>
        <w:t xml:space="preserve">Avicennia germinans</w:t>
      </w:r>
      <w:r>
        <w:t xml:space="preserve">, white mangrove</w:t>
      </w:r>
      <w:r>
        <w:t xml:space="preserve"> </w:t>
      </w:r>
      <w:r>
        <w:rPr>
          <w:iCs/>
          <w:i/>
        </w:rPr>
        <w:t xml:space="preserve">Laguncularia racemosa</w:t>
      </w:r>
      <w:r>
        <w:t xml:space="preserve">, red mangrove</w:t>
      </w:r>
      <w:r>
        <w:t xml:space="preserve"> </w:t>
      </w:r>
      <w:r>
        <w:rPr>
          <w:iCs/>
          <w:i/>
        </w:rPr>
        <w:t xml:space="preserve">Rhizophore mangle</w:t>
      </w:r>
      <w:r>
        <w:t xml:space="preserve">) with reductions in sampling every 0.5 m to every 10 m. For each level of sampling effort, the estimated elevation at which 95% of each species occurs is shown for each site. The variance in the estimated elevation is also shown for the repeated subsamples at each level of effort. Overall, the elevation estimates show a decrease with reductions in effort, although differences are observed for each species and site.</w:t>
      </w:r>
    </w:p>
    <w:tbl>
      <w:tblPr>
        <w:tblStyle w:val="Table"/>
        <w:tblW w:type="pct" w:w="5000"/>
        <w:tblLook w:firstRow="0" w:lastRow="0" w:firstColumn="0" w:lastColumn="0" w:noHBand="0" w:noVBand="0" w:val="0000"/>
      </w:tblPr>
      <w:tblGrid>
        <w:gridCol w:w="7920"/>
      </w:tblGrid>
      <w:tr>
        <w:tc>
          <w:tcPr/>
          <w:bookmarkStart w:id="70" w:name="fig-elevex"/>
          <w:p>
            <w:pPr>
              <w:pStyle w:val="Figure"/>
              <w:jc w:val="center"/>
            </w:pPr>
            <w:r>
              <w:drawing>
                <wp:inline>
                  <wp:extent cx="5943600" cy="4953000"/>
                  <wp:effectExtent b="0" l="0" r="0" t="0"/>
                  <wp:docPr descr="" title="" id="68" name="Picture"/>
                  <a:graphic>
                    <a:graphicData uri="http://schemas.openxmlformats.org/drawingml/2006/picture">
                      <pic:pic>
                        <pic:nvPicPr>
                          <pic:cNvPr descr="../figs/elevex.jpg" id="69" name="Picture"/>
                          <pic:cNvPicPr>
                            <a:picLocks noChangeArrowheads="1" noChangeAspect="1"/>
                          </pic:cNvPicPr>
                        </pic:nvPicPr>
                        <pic:blipFill>
                          <a:blip r:embed="rId67"/>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Elevation estimates of three mangrove species with sampling distance at each site. Point size shows the variance across the replicates for each level of sampling effort.</w:t>
            </w:r>
          </w:p>
          <w:bookmarkEnd w:id="70"/>
        </w:tc>
      </w:tr>
    </w:tbl>
    <w:p>
      <w:pPr>
        <w:pStyle w:val="BodyText"/>
      </w:pPr>
      <w:hyperlink w:anchor="fig-elevperex">
        <w:r>
          <w:rPr>
            <w:rStyle w:val="Hyperlink"/>
          </w:rPr>
          <w:t xml:space="preserve">Figure 12</w:t>
        </w:r>
      </w:hyperlink>
      <w:r>
        <w:t xml:space="preserve"> </w:t>
      </w:r>
      <w:r>
        <w:t xml:space="preserve">is similar to</w:t>
      </w:r>
      <w:r>
        <w:t xml:space="preserve"> </w:t>
      </w:r>
      <w:hyperlink w:anchor="fig-elevex">
        <w:r>
          <w:rPr>
            <w:rStyle w:val="Hyperlink"/>
          </w:rPr>
          <w:t xml:space="preserve">Figure 11</w:t>
        </w:r>
      </w:hyperlink>
      <w:r>
        <w:t xml:space="preserve">, except the total elevation change for each species at each site is shown as percent change. This provides a comparison of changes where differences may be observed by starting elevation above sea level.</w:t>
      </w:r>
    </w:p>
    <w:tbl>
      <w:tblPr>
        <w:tblStyle w:val="Table"/>
        <w:tblW w:type="pct" w:w="5000"/>
        <w:tblLook w:firstRow="0" w:lastRow="0" w:firstColumn="0" w:lastColumn="0" w:noHBand="0" w:noVBand="0" w:val="0000"/>
      </w:tblPr>
      <w:tblGrid>
        <w:gridCol w:w="7920"/>
      </w:tblGrid>
      <w:tr>
        <w:tc>
          <w:tcPr/>
          <w:bookmarkStart w:id="74" w:name="fig-elevperex"/>
          <w:p>
            <w:pPr>
              <w:pStyle w:val="Figure"/>
              <w:jc w:val="center"/>
            </w:pPr>
            <w:r>
              <w:drawing>
                <wp:inline>
                  <wp:extent cx="5943600" cy="4953000"/>
                  <wp:effectExtent b="0" l="0" r="0" t="0"/>
                  <wp:docPr descr="" title="" id="72" name="Picture"/>
                  <a:graphic>
                    <a:graphicData uri="http://schemas.openxmlformats.org/drawingml/2006/picture">
                      <pic:pic>
                        <pic:nvPicPr>
                          <pic:cNvPr descr="../figs/elevperex.jpg" id="73" name="Picture"/>
                          <pic:cNvPicPr>
                            <a:picLocks noChangeArrowheads="1" noChangeAspect="1"/>
                          </pic:cNvPicPr>
                        </pic:nvPicPr>
                        <pic:blipFill>
                          <a:blip r:embed="rId71"/>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Reletive elevation estimates of three mangrove species as a percent change from the initial value at 0.5 meters to 10 meters sampling. Point size shows the variance across the replicates for each level of sampling effort.</w:t>
            </w:r>
          </w:p>
          <w:bookmarkEnd w:id="74"/>
        </w:tc>
      </w:tr>
    </w:tbl>
    <w:p>
      <w:pPr>
        <w:pStyle w:val="BodyText"/>
      </w:pPr>
      <w:hyperlink w:anchor="fig-foperelevex">
        <w:r>
          <w:rPr>
            <w:rStyle w:val="Hyperlink"/>
          </w:rPr>
          <w:t xml:space="preserve">Figure 13</w:t>
        </w:r>
      </w:hyperlink>
      <w:r>
        <w:t xml:space="preserve"> </w:t>
      </w:r>
      <w:r>
        <w:t xml:space="preserve">shows that the change in the elevation estimate is a function of frequency occurrence. Species at a site with greater frequency occurrence are impacated less by reductions in sampling effort.</w:t>
      </w:r>
    </w:p>
    <w:tbl>
      <w:tblPr>
        <w:tblStyle w:val="Table"/>
        <w:tblW w:type="pct" w:w="5000"/>
        <w:tblLook w:firstRow="0" w:lastRow="0" w:firstColumn="0" w:lastColumn="0" w:noHBand="0" w:noVBand="0" w:val="0000"/>
      </w:tblPr>
      <w:tblGrid>
        <w:gridCol w:w="7920"/>
      </w:tblGrid>
      <w:tr>
        <w:tc>
          <w:tcPr/>
          <w:bookmarkStart w:id="78" w:name="fig-foperelevex"/>
          <w:p>
            <w:pPr>
              <w:pStyle w:val="Figure"/>
              <w:jc w:val="center"/>
            </w:pPr>
            <w:r>
              <w:drawing>
                <wp:inline>
                  <wp:extent cx="5943600" cy="5486400"/>
                  <wp:effectExtent b="0" l="0" r="0" t="0"/>
                  <wp:docPr descr="" title="" id="76" name="Picture"/>
                  <a:graphic>
                    <a:graphicData uri="http://schemas.openxmlformats.org/drawingml/2006/picture">
                      <pic:pic>
                        <pic:nvPicPr>
                          <pic:cNvPr descr="../figs/foperelevex.jpg" id="77" name="Picture"/>
                          <pic:cNvPicPr>
                            <a:picLocks noChangeArrowheads="1" noChangeAspect="1"/>
                          </pic:cNvPicPr>
                        </pic:nvPicPr>
                        <pic:blipFill>
                          <a:blip r:embed="rId75"/>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0.5 meter to 10 meter sampling as a function of frequency occurrence of each species at 0.5 meters ampling.</w:t>
            </w:r>
          </w:p>
          <w:bookmarkEnd w:id="78"/>
        </w:tc>
      </w:tr>
    </w:tbl>
    <w:p>
      <w:pPr>
        <w:pStyle w:val="BodyText"/>
      </w:pPr>
      <w:r>
        <w:t xml:space="preserve">Similar to</w:t>
      </w:r>
      <w:r>
        <w:t xml:space="preserve"> </w:t>
      </w:r>
      <w:hyperlink w:anchor="fig-foperelevex">
        <w:r>
          <w:rPr>
            <w:rStyle w:val="Hyperlink"/>
          </w:rPr>
          <w:t xml:space="preserve">Figure 13</w:t>
        </w:r>
      </w:hyperlink>
      <w:r>
        <w:t xml:space="preserve">,</w:t>
      </w:r>
      <w:r>
        <w:t xml:space="preserve"> </w:t>
      </w:r>
      <w:hyperlink w:anchor="fig-fovarelevex">
        <w:r>
          <w:rPr>
            <w:rStyle w:val="Hyperlink"/>
          </w:rPr>
          <w:t xml:space="preserve">Figure 14</w:t>
        </w:r>
      </w:hyperlink>
      <w:r>
        <w:t xml:space="preserve"> </w:t>
      </w:r>
      <w:r>
        <w:t xml:space="preserve">shows that the variance (or certainty) in the elevation estimate is a function of frequency occurrence. Elevation estimates are more precise for species at a site with greater frequency occurrence.</w:t>
      </w:r>
    </w:p>
    <w:tbl>
      <w:tblPr>
        <w:tblStyle w:val="Table"/>
        <w:tblW w:type="pct" w:w="5000"/>
        <w:tblLook w:firstRow="0" w:lastRow="0" w:firstColumn="0" w:lastColumn="0" w:noHBand="0" w:noVBand="0" w:val="0000"/>
      </w:tblPr>
      <w:tblGrid>
        <w:gridCol w:w="7920"/>
      </w:tblGrid>
      <w:tr>
        <w:tc>
          <w:tcPr/>
          <w:bookmarkStart w:id="82" w:name="fig-fovarelevex"/>
          <w:p>
            <w:pPr>
              <w:pStyle w:val="Figure"/>
              <w:jc w:val="center"/>
            </w:pPr>
            <w:r>
              <w:drawing>
                <wp:inline>
                  <wp:extent cx="5943600" cy="5486400"/>
                  <wp:effectExtent b="0" l="0" r="0" t="0"/>
                  <wp:docPr descr="" title="" id="80" name="Picture"/>
                  <a:graphic>
                    <a:graphicData uri="http://schemas.openxmlformats.org/drawingml/2006/picture">
                      <pic:pic>
                        <pic:nvPicPr>
                          <pic:cNvPr descr="../figs/fovarelevex.jpg" id="81" name="Picture"/>
                          <pic:cNvPicPr>
                            <a:picLocks noChangeArrowheads="1" noChangeAspect="1"/>
                          </pic:cNvPicPr>
                        </pic:nvPicPr>
                        <pic:blipFill>
                          <a:blip r:embed="rId79"/>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w:t>
            </w:r>
          </w:p>
          <w:bookmarkEnd w:id="82"/>
        </w:tc>
      </w:tr>
    </w:tbl>
    <w:bookmarkEnd w:id="83"/>
    <w:bookmarkStart w:id="132" w:name="zone-identification"/>
    <w:p>
      <w:pPr>
        <w:pStyle w:val="Heading3"/>
      </w:pPr>
      <w:r>
        <w:t xml:space="preserve">3.4 Zone identification</w:t>
      </w:r>
    </w:p>
    <w:p>
      <w:pPr>
        <w:pStyle w:val="FirstParagraph"/>
      </w:pPr>
      <w:r>
        <w:t xml:space="preserve">Estimates of the counts and distances for each zone along the transects are shown below for reductions in sample effort.</w:t>
      </w:r>
      <w:r>
        <w:t xml:space="preserve"> </w:t>
      </w:r>
      <w:hyperlink w:anchor="fig-zonecnt">
        <w:r>
          <w:rPr>
            <w:rStyle w:val="Hyperlink"/>
          </w:rPr>
          <w:t xml:space="preserve">Figure 15</w:t>
        </w:r>
      </w:hyperlink>
      <w:r>
        <w:t xml:space="preserve"> </w:t>
      </w:r>
      <w:r>
        <w:t xml:space="preserve">shows the number of unique zones identified with down-sampling. All zones are identified at each site for all levels of sample effort.</w:t>
      </w:r>
    </w:p>
    <w:tbl>
      <w:tblPr>
        <w:tblStyle w:val="Table"/>
        <w:tblW w:type="pct" w:w="5000"/>
        <w:tblLook w:firstRow="0" w:lastRow="0" w:firstColumn="0" w:lastColumn="0" w:noHBand="0" w:noVBand="0" w:val="0000"/>
      </w:tblPr>
      <w:tblGrid>
        <w:gridCol w:w="7920"/>
      </w:tblGrid>
      <w:tr>
        <w:tc>
          <w:tcPr/>
          <w:bookmarkStart w:id="87" w:name="fig-zonecnt"/>
          <w:p>
            <w:pPr>
              <w:pStyle w:val="Figure"/>
              <w:jc w:val="center"/>
            </w:pPr>
            <w:r>
              <w:drawing>
                <wp:inline>
                  <wp:extent cx="5943600" cy="5200650"/>
                  <wp:effectExtent b="0" l="0" r="0" t="0"/>
                  <wp:docPr descr="" title="" id="85" name="Picture"/>
                  <a:graphic>
                    <a:graphicData uri="http://schemas.openxmlformats.org/drawingml/2006/picture">
                      <pic:pic>
                        <pic:nvPicPr>
                          <pic:cNvPr descr="../figs/zonecnt.jp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0.5 meter to 10 meter sampling.</w:t>
            </w:r>
          </w:p>
          <w:bookmarkEnd w:id="87"/>
        </w:tc>
      </w:tr>
    </w:tbl>
    <w:p>
      <w:pPr>
        <w:pStyle w:val="BodyText"/>
      </w:pPr>
      <w:hyperlink w:anchor="fig-zonedst">
        <w:r>
          <w:rPr>
            <w:rStyle w:val="Hyperlink"/>
          </w:rPr>
          <w:t xml:space="preserve">Figure 16</w:t>
        </w:r>
      </w:hyperlink>
      <w:r>
        <w:t xml:space="preserve"> </w:t>
      </w:r>
      <w:r>
        <w:t xml:space="preserve">shows the estimated length of each zone at each site with reductions in sample effort. Each line represents a unique zone. Estimated zone lengths do not change with reduced effort. Points are sized by the variance of the estimates across the random subsamples at level of sample effort. Variance (or uncertainty) in the zone distances increases with reduced effort.</w:t>
      </w:r>
    </w:p>
    <w:tbl>
      <w:tblPr>
        <w:tblStyle w:val="Table"/>
        <w:tblW w:type="pct" w:w="5000"/>
        <w:tblLook w:firstRow="0" w:lastRow="0" w:firstColumn="0" w:lastColumn="0" w:noHBand="0" w:noVBand="0" w:val="0000"/>
      </w:tblPr>
      <w:tblGrid>
        <w:gridCol w:w="7920"/>
      </w:tblGrid>
      <w:tr>
        <w:tc>
          <w:tcPr/>
          <w:bookmarkStart w:id="91" w:name="fig-zonedst"/>
          <w:p>
            <w:pPr>
              <w:pStyle w:val="Figure"/>
              <w:jc w:val="center"/>
            </w:pPr>
            <w:r>
              <w:drawing>
                <wp:inline>
                  <wp:extent cx="5943600" cy="5200650"/>
                  <wp:effectExtent b="0" l="0" r="0" t="0"/>
                  <wp:docPr descr="" title="" id="89" name="Picture"/>
                  <a:graphic>
                    <a:graphicData uri="http://schemas.openxmlformats.org/drawingml/2006/picture">
                      <pic:pic>
                        <pic:nvPicPr>
                          <pic:cNvPr descr="../figs/zonedst.jpg" id="90" name="Picture"/>
                          <pic:cNvPicPr>
                            <a:picLocks noChangeArrowheads="1" noChangeAspect="1"/>
                          </pic:cNvPicPr>
                        </pic:nvPicPr>
                        <pic:blipFill>
                          <a:blip r:embed="rId88"/>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0.5 meter to 10 meter sampling. Point size shows the variance across the replicates for each level of sampling effort.</w:t>
            </w:r>
          </w:p>
          <w:bookmarkEnd w:id="91"/>
        </w:tc>
      </w:tr>
    </w:tbl>
    <w:p>
      <w:pPr>
        <w:pStyle w:val="BodyText"/>
      </w:pPr>
      <w:r>
        <w:t xml:space="preserve">The variance (or uncertainy) of the distance estimates increases with reductions in effort, but the increase is not linear. An example for Big Bend - TECO is shown in</w:t>
      </w:r>
      <w:r>
        <w:t xml:space="preserve"> </w:t>
      </w:r>
      <w:hyperlink w:anchor="fig-zonevarex">
        <w:r>
          <w:rPr>
            <w:rStyle w:val="Hyperlink"/>
          </w:rPr>
          <w:t xml:space="preserve">Figure 17</w:t>
        </w:r>
      </w:hyperlink>
      <w:r>
        <w:t xml:space="preserve">. Although variance increases across the zones, the variance estimates fall to zero when the actual zone distance (facet label shown in meters) is divisible by the sample interval with no remainder. Points of maximum variance are between intervals with no remainder.</w:t>
      </w:r>
    </w:p>
    <w:tbl>
      <w:tblPr>
        <w:tblStyle w:val="Table"/>
        <w:tblW w:type="pct" w:w="5000"/>
        <w:tblLook w:firstRow="0" w:lastRow="0" w:firstColumn="0" w:lastColumn="0" w:noHBand="0" w:noVBand="0" w:val="0000"/>
      </w:tblPr>
      <w:tblGrid>
        <w:gridCol w:w="7920"/>
      </w:tblGrid>
      <w:tr>
        <w:tc>
          <w:tcPr/>
          <w:bookmarkStart w:id="95" w:name="fig-zonevarex"/>
          <w:p>
            <w:pPr>
              <w:pStyle w:val="Figure"/>
              <w:jc w:val="center"/>
            </w:pPr>
            <w:r>
              <w:drawing>
                <wp:inline>
                  <wp:extent cx="5943600" cy="5200650"/>
                  <wp:effectExtent b="0" l="0" r="0" t="0"/>
                  <wp:docPr descr="" title="" id="93" name="Picture"/>
                  <a:graphic>
                    <a:graphicData uri="http://schemas.openxmlformats.org/drawingml/2006/picture">
                      <pic:pic>
                        <pic:nvPicPr>
                          <pic:cNvPr descr="../figs/zonevarex.jpg" id="94" name="Picture"/>
                          <pic:cNvPicPr>
                            <a:picLocks noChangeArrowheads="1" noChangeAspect="1"/>
                          </pic:cNvPicPr>
                        </pic:nvPicPr>
                        <pic:blipFill>
                          <a:blip r:embed="rId9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for each zone at the Big Bend - TECO site from 0.5 meter to 10 meter sampling.</w:t>
            </w:r>
          </w:p>
          <w:bookmarkEnd w:id="95"/>
        </w:tc>
      </w:tr>
    </w:tbl>
    <w:p>
      <w:pPr>
        <w:pStyle w:val="BodyText"/>
      </w:pPr>
      <w:r>
        <w:t xml:space="preserve">Detailed results for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w:t>
      </w:r>
    </w:p>
    <w:tbl>
      <w:tblPr>
        <w:tblStyle w:val="Table"/>
        <w:tblW w:type="pct" w:w="5000"/>
        <w:tblLook w:firstRow="0" w:lastRow="0" w:firstColumn="0" w:lastColumn="0" w:noHBand="0" w:noVBand="0" w:val="0000"/>
      </w:tblPr>
      <w:tblGrid>
        <w:gridCol w:w="7920"/>
      </w:tblGrid>
      <w:tr>
        <w:tc>
          <w:tcPr/>
          <w:bookmarkStart w:id="99" w:name="fig-zoneestbb"/>
          <w:p>
            <w:pPr>
              <w:pStyle w:val="Figure"/>
              <w:jc w:val="center"/>
            </w:pPr>
            <w:r>
              <w:drawing>
                <wp:inline>
                  <wp:extent cx="5943600" cy="3714750"/>
                  <wp:effectExtent b="0" l="0" r="0" t="0"/>
                  <wp:docPr descr="" title="" id="97" name="Picture"/>
                  <a:graphic>
                    <a:graphicData uri="http://schemas.openxmlformats.org/drawingml/2006/picture">
                      <pic:pic>
                        <pic:nvPicPr>
                          <pic:cNvPr descr="../figs/zoneest_Big%20Bend%20-%20TECO.jpg" id="98" name="Picture"/>
                          <pic:cNvPicPr>
                            <a:picLocks noChangeArrowheads="1" noChangeAspect="1"/>
                          </pic:cNvPicPr>
                        </pic:nvPicPr>
                        <pic:blipFill>
                          <a:blip r:embed="rId9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0.5 meter sampling.</w:t>
            </w:r>
          </w:p>
          <w:bookmarkEnd w:id="99"/>
        </w:tc>
      </w:tr>
    </w:tbl>
    <w:tbl>
      <w:tblPr>
        <w:tblStyle w:val="Table"/>
        <w:tblW w:type="pct" w:w="5000"/>
        <w:tblLook w:firstRow="0" w:lastRow="0" w:firstColumn="0" w:lastColumn="0" w:noHBand="0" w:noVBand="0" w:val="0000"/>
      </w:tblPr>
      <w:tblGrid>
        <w:gridCol w:w="7920"/>
      </w:tblGrid>
      <w:tr>
        <w:tc>
          <w:tcPr/>
          <w:bookmarkStart w:id="103" w:name="fig-zoneestcb"/>
          <w:p>
            <w:pPr>
              <w:pStyle w:val="Figure"/>
              <w:jc w:val="center"/>
            </w:pPr>
            <w:r>
              <w:drawing>
                <wp:inline>
                  <wp:extent cx="5943600" cy="3714750"/>
                  <wp:effectExtent b="0" l="0" r="0" t="0"/>
                  <wp:docPr descr="" title="" id="101" name="Picture"/>
                  <a:graphic>
                    <a:graphicData uri="http://schemas.openxmlformats.org/drawingml/2006/picture">
                      <pic:pic>
                        <pic:nvPicPr>
                          <pic:cNvPr descr="../figs/zoneest_Cockroach%20Bay.jpg" id="102" name="Picture"/>
                          <pic:cNvPicPr>
                            <a:picLocks noChangeArrowheads="1" noChangeAspect="1"/>
                          </pic:cNvPicPr>
                        </pic:nvPicPr>
                        <pic:blipFill>
                          <a:blip r:embed="rId100"/>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0.5 meter sampling.</w:t>
            </w:r>
          </w:p>
          <w:bookmarkEnd w:id="103"/>
        </w:tc>
      </w:tr>
    </w:tbl>
    <w:tbl>
      <w:tblPr>
        <w:tblStyle w:val="Table"/>
        <w:tblW w:type="pct" w:w="5000"/>
        <w:tblLook w:firstRow="0" w:lastRow="0" w:firstColumn="0" w:lastColumn="0" w:noHBand="0" w:noVBand="0" w:val="0000"/>
      </w:tblPr>
      <w:tblGrid>
        <w:gridCol w:w="7920"/>
      </w:tblGrid>
      <w:tr>
        <w:tc>
          <w:tcPr/>
          <w:bookmarkStart w:id="107" w:name="fig-zoneestfd"/>
          <w:p>
            <w:pPr>
              <w:pStyle w:val="Figure"/>
              <w:jc w:val="center"/>
            </w:pPr>
            <w:r>
              <w:drawing>
                <wp:inline>
                  <wp:extent cx="5943600" cy="3714750"/>
                  <wp:effectExtent b="0" l="0" r="0" t="0"/>
                  <wp:docPr descr="" title="" id="105" name="Picture"/>
                  <a:graphic>
                    <a:graphicData uri="http://schemas.openxmlformats.org/drawingml/2006/picture">
                      <pic:pic>
                        <pic:nvPicPr>
                          <pic:cNvPr descr="../figs/zoneest_Fort%20DeSoto.jpg" id="106" name="Picture"/>
                          <pic:cNvPicPr>
                            <a:picLocks noChangeArrowheads="1" noChangeAspect="1"/>
                          </pic:cNvPicPr>
                        </pic:nvPicPr>
                        <pic:blipFill>
                          <a:blip r:embed="rId104"/>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0.5 meter sampling.</w:t>
            </w:r>
          </w:p>
          <w:bookmarkEnd w:id="107"/>
        </w:tc>
      </w:tr>
    </w:tbl>
    <w:tbl>
      <w:tblPr>
        <w:tblStyle w:val="Table"/>
        <w:tblW w:type="pct" w:w="5000"/>
        <w:tblLook w:firstRow="0" w:lastRow="0" w:firstColumn="0" w:lastColumn="0" w:noHBand="0" w:noVBand="0" w:val="0000"/>
      </w:tblPr>
      <w:tblGrid>
        <w:gridCol w:w="7920"/>
      </w:tblGrid>
      <w:tr>
        <w:tc>
          <w:tcPr/>
          <w:bookmarkStart w:id="111" w:name="fig-zoneesthp"/>
          <w:p>
            <w:pPr>
              <w:pStyle w:val="Figure"/>
              <w:jc w:val="center"/>
            </w:pPr>
            <w:r>
              <w:drawing>
                <wp:inline>
                  <wp:extent cx="5943600" cy="3714750"/>
                  <wp:effectExtent b="0" l="0" r="0" t="0"/>
                  <wp:docPr descr="" title="" id="109" name="Picture"/>
                  <a:graphic>
                    <a:graphicData uri="http://schemas.openxmlformats.org/drawingml/2006/picture">
                      <pic:pic>
                        <pic:nvPicPr>
                          <pic:cNvPr descr="../figs/zoneest_Harbor%20Palms.jpg" id="110" name="Picture"/>
                          <pic:cNvPicPr>
                            <a:picLocks noChangeArrowheads="1" noChangeAspect="1"/>
                          </pic:cNvPicPr>
                        </pic:nvPicPr>
                        <pic:blipFill>
                          <a:blip r:embed="rId108"/>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0.5 meter sampling.</w:t>
            </w:r>
          </w:p>
          <w:bookmarkEnd w:id="111"/>
        </w:tc>
      </w:tr>
    </w:tbl>
    <w:tbl>
      <w:tblPr>
        <w:tblStyle w:val="Table"/>
        <w:tblW w:type="pct" w:w="5000"/>
        <w:tblLook w:firstRow="0" w:lastRow="0" w:firstColumn="0" w:lastColumn="0" w:noHBand="0" w:noVBand="0" w:val="0000"/>
      </w:tblPr>
      <w:tblGrid>
        <w:gridCol w:w="7920"/>
      </w:tblGrid>
      <w:tr>
        <w:tc>
          <w:tcPr/>
          <w:bookmarkStart w:id="115" w:name="fig-zoneesthh"/>
          <w:p>
            <w:pPr>
              <w:pStyle w:val="Figure"/>
              <w:jc w:val="center"/>
            </w:pPr>
            <w:r>
              <w:drawing>
                <wp:inline>
                  <wp:extent cx="5943600" cy="3714750"/>
                  <wp:effectExtent b="0" l="0" r="0" t="0"/>
                  <wp:docPr descr="" title="" id="113" name="Picture"/>
                  <a:graphic>
                    <a:graphicData uri="http://schemas.openxmlformats.org/drawingml/2006/picture">
                      <pic:pic>
                        <pic:nvPicPr>
                          <pic:cNvPr descr="../figs/zoneest_Hidden%20Harbor.jpg" id="114"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0.5 meter sampling.</w:t>
            </w:r>
          </w:p>
          <w:bookmarkEnd w:id="115"/>
        </w:tc>
      </w:tr>
    </w:tbl>
    <w:tbl>
      <w:tblPr>
        <w:tblStyle w:val="Table"/>
        <w:tblW w:type="pct" w:w="5000"/>
        <w:tblLook w:firstRow="0" w:lastRow="0" w:firstColumn="0" w:lastColumn="0" w:noHBand="0" w:noVBand="0" w:val="0000"/>
      </w:tblPr>
      <w:tblGrid>
        <w:gridCol w:w="7920"/>
      </w:tblGrid>
      <w:tr>
        <w:tc>
          <w:tcPr/>
          <w:bookmarkStart w:id="119" w:name="fig-zoneestlmr"/>
          <w:p>
            <w:pPr>
              <w:pStyle w:val="Figure"/>
              <w:jc w:val="center"/>
            </w:pPr>
            <w:r>
              <w:drawing>
                <wp:inline>
                  <wp:extent cx="5943600" cy="3714750"/>
                  <wp:effectExtent b="0" l="0" r="0" t="0"/>
                  <wp:docPr descr="" title="" id="117" name="Picture"/>
                  <a:graphic>
                    <a:graphicData uri="http://schemas.openxmlformats.org/drawingml/2006/picture">
                      <pic:pic>
                        <pic:nvPicPr>
                          <pic:cNvPr descr="../figs/zoneest_Little%20Manatee%20River.jpg" id="118" name="Picture"/>
                          <pic:cNvPicPr>
                            <a:picLocks noChangeArrowheads="1" noChangeAspect="1"/>
                          </pic:cNvPicPr>
                        </pic:nvPicPr>
                        <pic:blipFill>
                          <a:blip r:embed="rId11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0.5 meter sampling.</w:t>
            </w:r>
          </w:p>
          <w:bookmarkEnd w:id="119"/>
        </w:tc>
      </w:tr>
    </w:tbl>
    <w:tbl>
      <w:tblPr>
        <w:tblStyle w:val="Table"/>
        <w:tblW w:type="pct" w:w="5000"/>
        <w:tblLook w:firstRow="0" w:lastRow="0" w:firstColumn="0" w:lastColumn="0" w:noHBand="0" w:noVBand="0" w:val="0000"/>
      </w:tblPr>
      <w:tblGrid>
        <w:gridCol w:w="7920"/>
      </w:tblGrid>
      <w:tr>
        <w:tc>
          <w:tcPr/>
          <w:bookmarkStart w:id="123" w:name="fig-zoneestm"/>
          <w:p>
            <w:pPr>
              <w:pStyle w:val="Figure"/>
              <w:jc w:val="center"/>
            </w:pPr>
            <w:r>
              <w:drawing>
                <wp:inline>
                  <wp:extent cx="5943600" cy="3714750"/>
                  <wp:effectExtent b="0" l="0" r="0" t="0"/>
                  <wp:docPr descr="" title="" id="121" name="Picture"/>
                  <a:graphic>
                    <a:graphicData uri="http://schemas.openxmlformats.org/drawingml/2006/picture">
                      <pic:pic>
                        <pic:nvPicPr>
                          <pic:cNvPr descr="../figs/zoneest_Mosaic.jpg" id="122" name="Picture"/>
                          <pic:cNvPicPr>
                            <a:picLocks noChangeArrowheads="1" noChangeAspect="1"/>
                          </pic:cNvPicPr>
                        </pic:nvPicPr>
                        <pic:blipFill>
                          <a:blip r:embed="rId120"/>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0.5 meter sampling.</w:t>
            </w:r>
          </w:p>
          <w:bookmarkEnd w:id="123"/>
        </w:tc>
      </w:tr>
    </w:tbl>
    <w:tbl>
      <w:tblPr>
        <w:tblStyle w:val="Table"/>
        <w:tblW w:type="pct" w:w="5000"/>
        <w:tblLook w:firstRow="0" w:lastRow="0" w:firstColumn="0" w:lastColumn="0" w:noHBand="0" w:noVBand="0" w:val="0000"/>
      </w:tblPr>
      <w:tblGrid>
        <w:gridCol w:w="7920"/>
      </w:tblGrid>
      <w:tr>
        <w:tc>
          <w:tcPr/>
          <w:bookmarkStart w:id="127" w:name="fig-zoneestutbp"/>
          <w:p>
            <w:pPr>
              <w:pStyle w:val="Figure"/>
              <w:jc w:val="center"/>
            </w:pPr>
            <w:r>
              <w:drawing>
                <wp:inline>
                  <wp:extent cx="5943600" cy="3714750"/>
                  <wp:effectExtent b="0" l="0" r="0" t="0"/>
                  <wp:docPr descr="" title="" id="125" name="Picture"/>
                  <a:graphic>
                    <a:graphicData uri="http://schemas.openxmlformats.org/drawingml/2006/picture">
                      <pic:pic>
                        <pic:nvPicPr>
                          <pic:cNvPr descr="../figs/zoneest_Upper%20Tampa%20Bay%20Park.jpg" id="126" name="Picture"/>
                          <pic:cNvPicPr>
                            <a:picLocks noChangeArrowheads="1" noChangeAspect="1"/>
                          </pic:cNvPicPr>
                        </pic:nvPicPr>
                        <pic:blipFill>
                          <a:blip r:embed="rId124"/>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0.5 meter sampling.</w:t>
            </w:r>
          </w:p>
          <w:bookmarkEnd w:id="127"/>
        </w:tc>
      </w:tr>
    </w:tbl>
    <w:tbl>
      <w:tblPr>
        <w:tblStyle w:val="Table"/>
        <w:tblW w:type="pct" w:w="5000"/>
        <w:tblLook w:firstRow="0" w:lastRow="0" w:firstColumn="0" w:lastColumn="0" w:noHBand="0" w:noVBand="0" w:val="0000"/>
      </w:tblPr>
      <w:tblGrid>
        <w:gridCol w:w="7920"/>
      </w:tblGrid>
      <w:tr>
        <w:tc>
          <w:tcPr/>
          <w:bookmarkStart w:id="131" w:name="fig-zoneestwi"/>
          <w:p>
            <w:pPr>
              <w:pStyle w:val="Figure"/>
              <w:jc w:val="center"/>
            </w:pPr>
            <w:r>
              <w:drawing>
                <wp:inline>
                  <wp:extent cx="5943600" cy="3714750"/>
                  <wp:effectExtent b="0" l="0" r="0" t="0"/>
                  <wp:docPr descr="" title="" id="129" name="Picture"/>
                  <a:graphic>
                    <a:graphicData uri="http://schemas.openxmlformats.org/drawingml/2006/picture">
                      <pic:pic>
                        <pic:nvPicPr>
                          <pic:cNvPr descr="../figs/zoneest_Weedon%20Island.jpg" id="130" name="Picture"/>
                          <pic:cNvPicPr>
                            <a:picLocks noChangeArrowheads="1" noChangeAspect="1"/>
                          </pic:cNvPicPr>
                        </pic:nvPicPr>
                        <pic:blipFill>
                          <a:blip r:embed="rId128"/>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0.5 meter sampling.</w:t>
            </w:r>
          </w:p>
          <w:bookmarkEnd w:id="131"/>
        </w:tc>
      </w:tr>
    </w:tbl>
    <w:bookmarkEnd w:id="132"/>
    <w:bookmarkEnd w:id="133"/>
    <w:bookmarkStart w:id="134" w:name="conclusions-and-recommendations"/>
    <w:p>
      <w:pPr>
        <w:pStyle w:val="Heading2"/>
      </w:pPr>
      <w:r>
        <w:t xml:space="preserve">4 Conclusions and Recommendations</w:t>
      </w:r>
    </w:p>
    <w:p>
      <w:pPr>
        <w:numPr>
          <w:ilvl w:val="0"/>
          <w:numId w:val="1002"/>
        </w:numPr>
        <w:pStyle w:val="Compact"/>
      </w:pPr>
      <w:r>
        <w:t xml:space="preserve">Richness estimates for a site are reduced with lower sample effort</w:t>
      </w:r>
    </w:p>
    <w:p>
      <w:pPr>
        <w:numPr>
          <w:ilvl w:val="0"/>
          <w:numId w:val="1002"/>
        </w:numPr>
        <w:pStyle w:val="Compact"/>
      </w:pPr>
      <w:r>
        <w:t xml:space="preserve">The amount of reduction in the richness estimated was weakly associated with total species richness at a site</w:t>
      </w:r>
    </w:p>
    <w:p>
      <w:pPr>
        <w:numPr>
          <w:ilvl w:val="0"/>
          <w:numId w:val="1002"/>
        </w:numPr>
        <w:pStyle w:val="Compact"/>
      </w:pPr>
      <w:r>
        <w:t xml:space="preserve">Richness estimates for a zone are reduced with lower sample effort</w:t>
      </w:r>
    </w:p>
    <w:p>
      <w:pPr>
        <w:numPr>
          <w:ilvl w:val="0"/>
          <w:numId w:val="1002"/>
        </w:numPr>
        <w:pStyle w:val="Compact"/>
      </w:pPr>
      <w:r>
        <w:t xml:space="preserve">Richness estimates will be systematically lower with reduced effort for zones with overall higher richness. These include zones…</w:t>
      </w:r>
    </w:p>
    <w:p>
      <w:pPr>
        <w:numPr>
          <w:ilvl w:val="0"/>
          <w:numId w:val="1002"/>
        </w:numPr>
        <w:pStyle w:val="Compact"/>
      </w:pPr>
      <w:r>
        <w:t xml:space="preserve">Frequency occurrence estimates for individual species will not be systematically different at lower sample effort, but the estimates are imprecise</w:t>
      </w:r>
    </w:p>
    <w:p>
      <w:pPr>
        <w:numPr>
          <w:ilvl w:val="0"/>
          <w:numId w:val="1002"/>
        </w:numPr>
        <w:pStyle w:val="Compact"/>
      </w:pPr>
      <w:r>
        <w:t xml:space="preserve">Species with higher frequency occurrence will have less precise estimates with reduced effort compared to those with lower frequency occurrence</w:t>
      </w:r>
    </w:p>
    <w:p>
      <w:pPr>
        <w:numPr>
          <w:ilvl w:val="0"/>
          <w:numId w:val="1002"/>
        </w:numPr>
        <w:pStyle w:val="Compact"/>
      </w:pPr>
      <w:r>
        <w:t xml:space="preserve">Zone identification at each site is not affected by sample effort, although distance estimates decrease slightly.</w:t>
      </w:r>
      <w:r>
        <w:br/>
      </w:r>
    </w:p>
    <w:p>
      <w:pPr>
        <w:numPr>
          <w:ilvl w:val="0"/>
          <w:numId w:val="1002"/>
        </w:numPr>
        <w:pStyle w:val="Compact"/>
      </w:pPr>
      <w:r>
        <w:t xml:space="preserve">Precision of the distance estimates for each zone decreases with reductions in sample effort, but the decrease is not linear and is affected by the actual zone length and sample interval</w:t>
      </w:r>
    </w:p>
    <w:p>
      <w:pPr>
        <w:numPr>
          <w:ilvl w:val="0"/>
          <w:numId w:val="1002"/>
        </w:numPr>
        <w:pStyle w:val="Compact"/>
      </w:pPr>
      <w:r>
        <w:t xml:space="preserve">The estimated elevation at which mangrove species are observed will decrease with reductions in sampling effort. The magnitude and uncertainty of the reduction will increase for species with lower frequency occurrence at a site.</w:t>
      </w:r>
    </w:p>
    <w:p>
      <w:r>
        <w:br w:type="page"/>
      </w:r>
    </w:p>
    <w:bookmarkEnd w:id="134"/>
    <w:bookmarkStart w:id="170" w:name="references"/>
    <w:p>
      <w:pPr>
        <w:pStyle w:val="Heading2"/>
      </w:pPr>
      <w:r>
        <w:t xml:space="preserve">References</w:t>
      </w:r>
    </w:p>
    <w:bookmarkStart w:id="169" w:name="refs"/>
    <w:bookmarkStart w:id="136"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5">
        <w:r>
          <w:rPr>
            <w:rStyle w:val="Hyperlink"/>
          </w:rPr>
          <w:t xml:space="preserve">https://drive.google.com/file/d/1c_KTSJ4TgVX9IugnyDadr2Hc0gjAuQg2/view?usp=drivesdk</w:t>
        </w:r>
      </w:hyperlink>
      <w:r>
        <w:t xml:space="preserve">.</w:t>
      </w:r>
    </w:p>
    <w:bookmarkEnd w:id="136"/>
    <w:bookmarkStart w:id="138"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7">
        <w:r>
          <w:rPr>
            <w:rStyle w:val="Hyperlink"/>
          </w:rPr>
          <w:t xml:space="preserve">https://doi.org/10.1073/pnas.1902181116</w:t>
        </w:r>
      </w:hyperlink>
      <w:r>
        <w:t xml:space="preserve">.</w:t>
      </w:r>
    </w:p>
    <w:bookmarkEnd w:id="138"/>
    <w:bookmarkStart w:id="140"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39">
        <w:r>
          <w:rPr>
            <w:rStyle w:val="Hyperlink"/>
          </w:rPr>
          <w:t xml:space="preserve">https://doi.org/10.1016/j.ecss.2011.10.003</w:t>
        </w:r>
      </w:hyperlink>
      <w:r>
        <w:t xml:space="preserve">.</w:t>
      </w:r>
    </w:p>
    <w:bookmarkEnd w:id="140"/>
    <w:bookmarkStart w:id="142"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41">
        <w:r>
          <w:rPr>
            <w:rStyle w:val="Hyperlink"/>
          </w:rPr>
          <w:t xml:space="preserve">10.2307/1930167</w:t>
        </w:r>
      </w:hyperlink>
      <w:r>
        <w:t xml:space="preserve">.</w:t>
      </w:r>
    </w:p>
    <w:bookmarkEnd w:id="142"/>
    <w:bookmarkStart w:id="144"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3">
        <w:r>
          <w:rPr>
            <w:rStyle w:val="Hyperlink"/>
          </w:rPr>
          <w:t xml:space="preserve">10.1038/nclimate1970</w:t>
        </w:r>
      </w:hyperlink>
      <w:r>
        <w:t xml:space="preserve">.</w:t>
      </w:r>
    </w:p>
    <w:bookmarkEnd w:id="144"/>
    <w:bookmarkStart w:id="146"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5">
        <w:r>
          <w:rPr>
            <w:rStyle w:val="Hyperlink"/>
          </w:rPr>
          <w:t xml:space="preserve">10.1016/j.ocecoaman.2016.09.009</w:t>
        </w:r>
      </w:hyperlink>
      <w:r>
        <w:t xml:space="preserve">.</w:t>
      </w:r>
    </w:p>
    <w:bookmarkEnd w:id="146"/>
    <w:bookmarkStart w:id="148"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7">
        <w:r>
          <w:rPr>
            <w:rStyle w:val="Hyperlink"/>
          </w:rPr>
          <w:t xml:space="preserve">10.1007/s12237-020-00830-0</w:t>
        </w:r>
      </w:hyperlink>
      <w:r>
        <w:t xml:space="preserve">.</w:t>
      </w:r>
    </w:p>
    <w:bookmarkEnd w:id="148"/>
    <w:bookmarkStart w:id="150"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49">
        <w:r>
          <w:rPr>
            <w:rStyle w:val="Hyperlink"/>
          </w:rPr>
          <w:t xml:space="preserve">10.1577/1548-8446(1990)015&lt;0016:aeocco&gt;2.0.co;2</w:t>
        </w:r>
      </w:hyperlink>
      <w:r>
        <w:t xml:space="preserve">.</w:t>
      </w:r>
    </w:p>
    <w:bookmarkEnd w:id="150"/>
    <w:bookmarkStart w:id="152"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1">
        <w:r>
          <w:rPr>
            <w:rStyle w:val="Hyperlink"/>
          </w:rPr>
          <w:t xml:space="preserve">https://drive.google.com/file/d/1bDZ0JmuD2_1RM6VkSrsAR3g8bciQaf3F/view?usp=drivesdk</w:t>
        </w:r>
      </w:hyperlink>
      <w:r>
        <w:t xml:space="preserve">.</w:t>
      </w:r>
    </w:p>
    <w:bookmarkEnd w:id="152"/>
    <w:bookmarkStart w:id="154"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3">
        <w:r>
          <w:rPr>
            <w:rStyle w:val="Hyperlink"/>
          </w:rPr>
          <w:t xml:space="preserve">10.1111/gcb.16111</w:t>
        </w:r>
      </w:hyperlink>
      <w:r>
        <w:t xml:space="preserve">.</w:t>
      </w:r>
    </w:p>
    <w:bookmarkEnd w:id="154"/>
    <w:bookmarkStart w:id="156"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5">
        <w:r>
          <w:rPr>
            <w:rStyle w:val="Hyperlink"/>
          </w:rPr>
          <w:t xml:space="preserve">https://drive.google.com/file/d/122AvajD3fxOVORHfO5HQUMdXkLNoQm48/view?usp=drivesdk</w:t>
        </w:r>
      </w:hyperlink>
      <w:r>
        <w:t xml:space="preserve">.</w:t>
      </w:r>
    </w:p>
    <w:bookmarkEnd w:id="156"/>
    <w:bookmarkStart w:id="158"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57">
        <w:r>
          <w:rPr>
            <w:rStyle w:val="Hyperlink"/>
          </w:rPr>
          <w:t xml:space="preserve">https://www.R-project.org/</w:t>
        </w:r>
      </w:hyperlink>
      <w:r>
        <w:t xml:space="preserve">.</w:t>
      </w:r>
    </w:p>
    <w:bookmarkEnd w:id="158"/>
    <w:bookmarkStart w:id="160"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59">
        <w:r>
          <w:rPr>
            <w:rStyle w:val="Hyperlink"/>
          </w:rPr>
          <w:t xml:space="preserve">https://drive.google.com/file/d/1Hp0l_qtbxp1JxKJoGatdyuANSzQrpL0I/view?usp=drivesdk</w:t>
        </w:r>
      </w:hyperlink>
      <w:r>
        <w:t xml:space="preserve">.</w:t>
      </w:r>
    </w:p>
    <w:bookmarkEnd w:id="160"/>
    <w:bookmarkStart w:id="162"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1">
        <w:r>
          <w:rPr>
            <w:rStyle w:val="Hyperlink"/>
          </w:rPr>
          <w:t xml:space="preserve">https://drive.google.com/file/d/11tu2-0y7wdAHsdvMYE8bNb68mgvcpWbK/view?usp=drivesdk</w:t>
        </w:r>
      </w:hyperlink>
      <w:r>
        <w:t xml:space="preserve">.</w:t>
      </w:r>
    </w:p>
    <w:bookmarkEnd w:id="162"/>
    <w:bookmarkStart w:id="164"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3">
        <w:r>
          <w:rPr>
            <w:rStyle w:val="Hyperlink"/>
          </w:rPr>
          <w:t xml:space="preserve">10.1007/s00267-013-0179-5</w:t>
        </w:r>
      </w:hyperlink>
      <w:r>
        <w:t xml:space="preserve">.</w:t>
      </w:r>
    </w:p>
    <w:bookmarkEnd w:id="164"/>
    <w:bookmarkStart w:id="166"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5">
        <w:r>
          <w:rPr>
            <w:rStyle w:val="Hyperlink"/>
          </w:rPr>
          <w:t xml:space="preserve">10.1016/j.ocecoaman.2013.09.007</w:t>
        </w:r>
      </w:hyperlink>
      <w:r>
        <w:t xml:space="preserve">.</w:t>
      </w:r>
    </w:p>
    <w:bookmarkEnd w:id="166"/>
    <w:bookmarkStart w:id="168"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67">
        <w:r>
          <w:rPr>
            <w:rStyle w:val="Hyperlink"/>
          </w:rPr>
          <w:t xml:space="preserve">10.1016/j.tourman.2018.03.024</w:t>
        </w:r>
      </w:hyperlink>
      <w:r>
        <w:t xml:space="preserve">.</w:t>
      </w:r>
    </w:p>
    <w:bookmarkEnd w:id="168"/>
    <w:bookmarkEnd w:id="169"/>
    <w:bookmarkEnd w:id="170"/>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31" Target="media/rId31.jpg" /><Relationship Type="http://schemas.openxmlformats.org/officeDocument/2006/relationships/image" Id="rId37" Target="media/rId37.jpg" /><Relationship Type="http://schemas.openxmlformats.org/officeDocument/2006/relationships/image" Id="rId45" Target="media/rId45.jpg" /><Relationship Type="http://schemas.openxmlformats.org/officeDocument/2006/relationships/image" Id="rId41" Target="media/rId41.jpg" /><Relationship Type="http://schemas.openxmlformats.org/officeDocument/2006/relationships/image" Id="rId50" Target="media/rId50.jpg" /><Relationship Type="http://schemas.openxmlformats.org/officeDocument/2006/relationships/image" Id="rId62" Target="media/rId62.jpg" /><Relationship Type="http://schemas.openxmlformats.org/officeDocument/2006/relationships/image" Id="rId54" Target="media/rId54.jpg" /><Relationship Type="http://schemas.openxmlformats.org/officeDocument/2006/relationships/image" Id="rId58" Target="media/rId58.jp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image" Id="rId84" Target="media/rId84.jpg" /><Relationship Type="http://schemas.openxmlformats.org/officeDocument/2006/relationships/image" Id="rId88" Target="media/rId88.jpg"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120" Target="media/rId120.jpg" /><Relationship Type="http://schemas.openxmlformats.org/officeDocument/2006/relationships/image" Id="rId124" Target="media/rId124.jpg" /><Relationship Type="http://schemas.openxmlformats.org/officeDocument/2006/relationships/image" Id="rId128" Target="media/rId128.jpg" /><Relationship Type="http://schemas.openxmlformats.org/officeDocument/2006/relationships/image" Id="rId92" Target="media/rId92.jpg" /><Relationship Type="http://schemas.openxmlformats.org/officeDocument/2006/relationships/hyperlink" Id="rId163" Target="https://doi.org/10.1007/s00267-013-0179-5" TargetMode="External" /><Relationship Type="http://schemas.openxmlformats.org/officeDocument/2006/relationships/hyperlink" Id="rId147" Target="https://doi.org/10.1007/s12237-020-00830-0" TargetMode="External" /><Relationship Type="http://schemas.openxmlformats.org/officeDocument/2006/relationships/hyperlink" Id="rId139" Target="https://doi.org/10.1016/j.ecss.2011.10.003" TargetMode="External" /><Relationship Type="http://schemas.openxmlformats.org/officeDocument/2006/relationships/hyperlink" Id="rId165" Target="https://doi.org/10.1016/j.ocecoaman.2013.09.007" TargetMode="External" /><Relationship Type="http://schemas.openxmlformats.org/officeDocument/2006/relationships/hyperlink" Id="rId145" Target="https://doi.org/10.1016/j.ocecoaman.2016.09.009" TargetMode="External" /><Relationship Type="http://schemas.openxmlformats.org/officeDocument/2006/relationships/hyperlink" Id="rId167" Target="https://doi.org/10.1016/j.tourman.2018.03.024" TargetMode="External" /><Relationship Type="http://schemas.openxmlformats.org/officeDocument/2006/relationships/hyperlink" Id="rId143" Target="https://doi.org/10.1038/nclimate1970" TargetMode="External" /><Relationship Type="http://schemas.openxmlformats.org/officeDocument/2006/relationships/hyperlink" Id="rId137" Target="https://doi.org/10.1073/pnas.1902181116" TargetMode="External" /><Relationship Type="http://schemas.openxmlformats.org/officeDocument/2006/relationships/hyperlink" Id="rId153" Target="https://doi.org/10.1111/gcb.16111" TargetMode="External" /><Relationship Type="http://schemas.openxmlformats.org/officeDocument/2006/relationships/hyperlink" Id="rId149" Target="https://doi.org/10.1577/1548-8446(1990)015&lt;0016:aeocco&gt;2.0.co;2" TargetMode="External" /><Relationship Type="http://schemas.openxmlformats.org/officeDocument/2006/relationships/hyperlink" Id="rId141" Target="https://doi.org/10.2307/1930167" TargetMode="External" /><Relationship Type="http://schemas.openxmlformats.org/officeDocument/2006/relationships/hyperlink" Id="rId161" Target="https://drive.google.com/file/d/11tu2-0y7wdAHsdvMYE8bNb68mgvcpWbK/view?usp=drivesdk" TargetMode="External" /><Relationship Type="http://schemas.openxmlformats.org/officeDocument/2006/relationships/hyperlink" Id="rId155" Target="https://drive.google.com/file/d/122AvajD3fxOVORHfO5HQUMdXkLNoQm48/view?usp=drivesdk" TargetMode="External" /><Relationship Type="http://schemas.openxmlformats.org/officeDocument/2006/relationships/hyperlink" Id="rId159" Target="https://drive.google.com/file/d/1Hp0l_qtbxp1JxKJoGatdyuANSzQrpL0I/view?usp=drivesdk" TargetMode="External" /><Relationship Type="http://schemas.openxmlformats.org/officeDocument/2006/relationships/hyperlink" Id="rId151" Target="https://drive.google.com/file/d/1bDZ0JmuD2_1RM6VkSrsAR3g8bciQaf3F/view?usp=drivesdk" TargetMode="External" /><Relationship Type="http://schemas.openxmlformats.org/officeDocument/2006/relationships/hyperlink" Id="rId135" Target="https://drive.google.com/file/d/1c_KTSJ4TgVX9IugnyDadr2Hc0gjAuQg2/view?usp=drivesdk" TargetMode="External" /><Relationship Type="http://schemas.openxmlformats.org/officeDocument/2006/relationships/hyperlink" Id="rId35" Target="https://github.com/tbep-tech/ccha-sampling-effort" TargetMode="External" /><Relationship Type="http://schemas.openxmlformats.org/officeDocument/2006/relationships/hyperlink" Id="rId15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7/s00267-013-0179-5" TargetMode="External" /><Relationship Type="http://schemas.openxmlformats.org/officeDocument/2006/relationships/hyperlink" Id="rId147" Target="https://doi.org/10.1007/s12237-020-00830-0" TargetMode="External" /><Relationship Type="http://schemas.openxmlformats.org/officeDocument/2006/relationships/hyperlink" Id="rId139" Target="https://doi.org/10.1016/j.ecss.2011.10.003" TargetMode="External" /><Relationship Type="http://schemas.openxmlformats.org/officeDocument/2006/relationships/hyperlink" Id="rId165" Target="https://doi.org/10.1016/j.ocecoaman.2013.09.007" TargetMode="External" /><Relationship Type="http://schemas.openxmlformats.org/officeDocument/2006/relationships/hyperlink" Id="rId145" Target="https://doi.org/10.1016/j.ocecoaman.2016.09.009" TargetMode="External" /><Relationship Type="http://schemas.openxmlformats.org/officeDocument/2006/relationships/hyperlink" Id="rId167" Target="https://doi.org/10.1016/j.tourman.2018.03.024" TargetMode="External" /><Relationship Type="http://schemas.openxmlformats.org/officeDocument/2006/relationships/hyperlink" Id="rId143" Target="https://doi.org/10.1038/nclimate1970" TargetMode="External" /><Relationship Type="http://schemas.openxmlformats.org/officeDocument/2006/relationships/hyperlink" Id="rId137" Target="https://doi.org/10.1073/pnas.1902181116" TargetMode="External" /><Relationship Type="http://schemas.openxmlformats.org/officeDocument/2006/relationships/hyperlink" Id="rId153" Target="https://doi.org/10.1111/gcb.16111" TargetMode="External" /><Relationship Type="http://schemas.openxmlformats.org/officeDocument/2006/relationships/hyperlink" Id="rId149" Target="https://doi.org/10.1577/1548-8446(1990)015&lt;0016:aeocco&gt;2.0.co;2" TargetMode="External" /><Relationship Type="http://schemas.openxmlformats.org/officeDocument/2006/relationships/hyperlink" Id="rId141" Target="https://doi.org/10.2307/1930167" TargetMode="External" /><Relationship Type="http://schemas.openxmlformats.org/officeDocument/2006/relationships/hyperlink" Id="rId161" Target="https://drive.google.com/file/d/11tu2-0y7wdAHsdvMYE8bNb68mgvcpWbK/view?usp=drivesdk" TargetMode="External" /><Relationship Type="http://schemas.openxmlformats.org/officeDocument/2006/relationships/hyperlink" Id="rId155" Target="https://drive.google.com/file/d/122AvajD3fxOVORHfO5HQUMdXkLNoQm48/view?usp=drivesdk" TargetMode="External" /><Relationship Type="http://schemas.openxmlformats.org/officeDocument/2006/relationships/hyperlink" Id="rId159" Target="https://drive.google.com/file/d/1Hp0l_qtbxp1JxKJoGatdyuANSzQrpL0I/view?usp=drivesdk" TargetMode="External" /><Relationship Type="http://schemas.openxmlformats.org/officeDocument/2006/relationships/hyperlink" Id="rId151" Target="https://drive.google.com/file/d/1bDZ0JmuD2_1RM6VkSrsAR3g8bciQaf3F/view?usp=drivesdk" TargetMode="External" /><Relationship Type="http://schemas.openxmlformats.org/officeDocument/2006/relationships/hyperlink" Id="rId135" Target="https://drive.google.com/file/d/1c_KTSJ4TgVX9IugnyDadr2Hc0gjAuQg2/view?usp=drivesdk" TargetMode="External" /><Relationship Type="http://schemas.openxmlformats.org/officeDocument/2006/relationships/hyperlink" Id="rId35" Target="https://github.com/tbep-tech/ccha-sampling-effort" TargetMode="External" /><Relationship Type="http://schemas.openxmlformats.org/officeDocument/2006/relationships/hyperlink" Id="rId15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2022-10-25T21:17:22Z</dcterms:created>
  <dcterms:modified xsi:type="dcterms:W3CDTF">2022-10-25T21:17:22Z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